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D4622A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F1C" w:rsidRPr="00904154" w:rsidRDefault="006A5F1C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904154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EMPRESA MUNICIPAL DE MORADIA, URBANIZAÇÃO E SANEAMENTO – EMUSA</w:t>
                            </w:r>
                            <w:r w:rsidR="00C3502A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.</w:t>
                            </w:r>
                          </w:p>
                          <w:p w:rsidR="006A5F1C" w:rsidRPr="00904154" w:rsidRDefault="006A5F1C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6A5F1C" w:rsidRDefault="006A5F1C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904154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C3502A" w:rsidRPr="00904154" w:rsidRDefault="00C3502A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A5F1C" w:rsidRPr="00904154" w:rsidRDefault="006A5F1C" w:rsidP="00EF0931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904154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6A5F1C" w:rsidRPr="00904154" w:rsidRDefault="006A5F1C" w:rsidP="00EF09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6A5F1C" w:rsidRPr="00904154" w:rsidRDefault="006A5F1C" w:rsidP="004153C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04154">
                              <w:rPr>
                                <w:rFonts w:ascii="Arial Narrow" w:hAnsi="Arial Narrow"/>
                              </w:rPr>
                              <w:t xml:space="preserve">     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Homologo o resultado do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502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procedimento licitatório na 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modalidade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Concorrência P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ública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nº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25/2022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–</w:t>
                            </w:r>
                            <w:proofErr w:type="gramStart"/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Processo  Administrativo nº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740000816/2019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que visa a e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xecução das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bras e/ou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erviços para EMUSA de ”construção de estruturas estabilizadora do tipo cortinas </w:t>
                            </w:r>
                            <w:proofErr w:type="spellStart"/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atirantadas</w:t>
                            </w:r>
                            <w:proofErr w:type="spellEnd"/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estaqueada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com solo grampeado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na T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ravessa André M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onteiro F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ranco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na comunidade do cavalão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no bairro de São Francisco”, nesta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idade, conforme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edital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adjudicando os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a empresa SEEL SERVIÇOS ESPECIAIS DE ENGENHARIA LTDA</w:t>
                            </w:r>
                            <w:r w:rsid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CNPJ: 72.030.927/0001-85</w:t>
                            </w:r>
                            <w:r w:rsid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pelo valor  global  de R$ 3.326.284,38  (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três milhões, trezentos e vinte e seis mil, duzentos e oitenta e quatro reais e trinta e oito centavos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) com uma redução em   relação   ao   valor    estimado   de  2,82%, com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razo de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ntrega dos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erviços,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alidade da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roposta e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agamentos, conforme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edital,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04154"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autorizando a despesa e a emissão de nota de empenho</w:t>
                            </w:r>
                            <w:r w:rsidRPr="0090415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A5F1C" w:rsidRPr="00904154" w:rsidRDefault="006A5F1C" w:rsidP="004153C1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6A5F1C" w:rsidRPr="00904154" w:rsidRDefault="006A5F1C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904154">
                        <w:rPr>
                          <w:rFonts w:ascii="Arial" w:hAnsi="Arial"/>
                          <w:color w:val="0F243E" w:themeColor="text2" w:themeShade="80"/>
                        </w:rPr>
                        <w:t>EMPRESA MUNICIPAL DE MORADIA, URBANIZAÇÃO E SANEAMENTO – EMUSA</w:t>
                      </w:r>
                      <w:r w:rsidR="00C3502A">
                        <w:rPr>
                          <w:rFonts w:ascii="Arial" w:hAnsi="Arial"/>
                          <w:color w:val="0F243E" w:themeColor="text2" w:themeShade="80"/>
                        </w:rPr>
                        <w:t>.</w:t>
                      </w:r>
                    </w:p>
                    <w:p w:rsidR="006A5F1C" w:rsidRPr="00904154" w:rsidRDefault="006A5F1C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6A5F1C" w:rsidRDefault="006A5F1C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904154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C3502A" w:rsidRPr="00904154" w:rsidRDefault="00C3502A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bookmarkStart w:id="1" w:name="_GoBack"/>
                      <w:bookmarkEnd w:id="1"/>
                    </w:p>
                    <w:p w:rsidR="006A5F1C" w:rsidRPr="00904154" w:rsidRDefault="006A5F1C" w:rsidP="00EF0931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904154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6A5F1C" w:rsidRPr="00904154" w:rsidRDefault="006A5F1C" w:rsidP="00EF0931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6A5F1C" w:rsidRPr="00904154" w:rsidRDefault="006A5F1C" w:rsidP="004153C1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04154">
                        <w:rPr>
                          <w:rFonts w:ascii="Arial Narrow" w:hAnsi="Arial Narrow"/>
                        </w:rPr>
                        <w:t xml:space="preserve">     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Homologo o resultado do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C3502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procedimento licitatório na 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modalidade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 </w:t>
                      </w:r>
                      <w:r w:rsid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Concorrência P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ública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nº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25/2022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–</w:t>
                      </w:r>
                      <w:proofErr w:type="gramStart"/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Processo  Administrativo nº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740000816/2019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, que visa a e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xecução das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bras e/ou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erviços para EMUSA de ”construção de estruturas estabilizadora do tipo cortinas </w:t>
                      </w:r>
                      <w:proofErr w:type="spellStart"/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atirantadas</w:t>
                      </w:r>
                      <w:proofErr w:type="spellEnd"/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estaqueada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com solo grampeado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, na T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ravessa André M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onteiro F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ranco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na comunidade do cavalão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no bairro de São Francisco”, nesta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idade, conforme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edital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adjudicando os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a empresa SEEL SERVIÇOS ESPECIAIS DE ENGENHARIA LTDA</w:t>
                      </w:r>
                      <w:r w:rsid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CNPJ: 72.030.927/0001-85</w:t>
                      </w:r>
                      <w:r w:rsid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pelo valor  global  de R$ 3.326.284,38  (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três milhões, trezentos e vinte e seis mil, duzentos e oitenta e quatro reais e trinta e oito centavos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) com uma redução em   relação   ao   valor    estimado   de  2,82%, com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razo de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ntrega dos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erviços,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v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alidade da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roposta e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agamentos, conforme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edital,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04154"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autorizando a despesa e a emissão de nota de empenho</w:t>
                      </w:r>
                      <w:r w:rsidRPr="00904154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="006A5F1C" w:rsidRPr="00904154" w:rsidRDefault="006A5F1C" w:rsidP="004153C1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479F4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23CD"/>
    <w:rsid w:val="003477B8"/>
    <w:rsid w:val="003505CD"/>
    <w:rsid w:val="0035663D"/>
    <w:rsid w:val="003661F5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3C1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A5F1C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4154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0520"/>
    <w:rsid w:val="00983FA1"/>
    <w:rsid w:val="009848E2"/>
    <w:rsid w:val="009851BA"/>
    <w:rsid w:val="0099002B"/>
    <w:rsid w:val="00991095"/>
    <w:rsid w:val="009963FF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83FB2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3502A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622A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0931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6</cp:revision>
  <cp:lastPrinted>2022-10-21T12:41:00Z</cp:lastPrinted>
  <dcterms:created xsi:type="dcterms:W3CDTF">2022-04-05T17:53:00Z</dcterms:created>
  <dcterms:modified xsi:type="dcterms:W3CDTF">2022-10-24T15:52:00Z</dcterms:modified>
</cp:coreProperties>
</file>