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8F" w:rsidRPr="00552CF4" w:rsidRDefault="00473C26" w:rsidP="006213BC">
      <w:pPr>
        <w:jc w:val="center"/>
        <w:rPr>
          <w:rFonts w:ascii="Arial" w:hAnsi="Arial" w:cs="Arial"/>
          <w:b/>
        </w:rPr>
      </w:pPr>
      <w:r w:rsidRPr="00552CF4">
        <w:rPr>
          <w:rFonts w:ascii="Arial" w:hAnsi="Arial" w:cs="Arial"/>
          <w:b/>
        </w:rPr>
        <w:t>ERRATA</w:t>
      </w:r>
    </w:p>
    <w:p w:rsidR="0060588B" w:rsidRPr="00552CF4" w:rsidRDefault="006213BC" w:rsidP="006213BC">
      <w:pPr>
        <w:tabs>
          <w:tab w:val="center" w:pos="-1701"/>
          <w:tab w:val="center" w:pos="-426"/>
          <w:tab w:val="right" w:pos="-142"/>
        </w:tabs>
        <w:spacing w:line="240" w:lineRule="auto"/>
        <w:ind w:right="13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PREGÃO ELETRONICO 001</w:t>
      </w:r>
      <w:r w:rsidR="00F15F4A" w:rsidRPr="00552CF4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</w:p>
    <w:p w:rsidR="0060588B" w:rsidRPr="00552CF4" w:rsidRDefault="0020098B" w:rsidP="00115DF8">
      <w:pPr>
        <w:tabs>
          <w:tab w:val="center" w:pos="-1701"/>
          <w:tab w:val="center" w:pos="-426"/>
        </w:tabs>
        <w:spacing w:line="240" w:lineRule="auto"/>
        <w:ind w:right="139"/>
        <w:jc w:val="both"/>
        <w:rPr>
          <w:rFonts w:ascii="Arial" w:hAnsi="Arial" w:cs="Arial"/>
        </w:rPr>
      </w:pPr>
      <w:bookmarkStart w:id="0" w:name="_GoBack"/>
      <w:r w:rsidRPr="00552CF4">
        <w:rPr>
          <w:rFonts w:ascii="Arial" w:hAnsi="Arial" w:cs="Arial"/>
        </w:rPr>
        <w:t xml:space="preserve"> </w:t>
      </w:r>
      <w:r w:rsidR="0060588B" w:rsidRPr="00552CF4">
        <w:rPr>
          <w:rFonts w:ascii="Arial" w:hAnsi="Arial" w:cs="Arial"/>
        </w:rPr>
        <w:t xml:space="preserve">A Comissão </w:t>
      </w:r>
      <w:r w:rsidR="006213BC">
        <w:rPr>
          <w:rFonts w:ascii="Arial" w:hAnsi="Arial" w:cs="Arial"/>
        </w:rPr>
        <w:t>de pregão</w:t>
      </w:r>
      <w:r w:rsidR="0075062F" w:rsidRPr="00552CF4">
        <w:rPr>
          <w:rFonts w:ascii="Arial" w:hAnsi="Arial" w:cs="Arial"/>
        </w:rPr>
        <w:t xml:space="preserve"> comunica</w:t>
      </w:r>
      <w:r w:rsidR="0060588B" w:rsidRPr="00552CF4">
        <w:rPr>
          <w:rFonts w:ascii="Arial" w:hAnsi="Arial" w:cs="Arial"/>
        </w:rPr>
        <w:t xml:space="preserve"> aos interessados que foi retificado o seguinte ponto do Edital:</w:t>
      </w:r>
    </w:p>
    <w:p w:rsidR="002B5D87" w:rsidRPr="006213BC" w:rsidRDefault="00F15F4A" w:rsidP="006213B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552CF4">
        <w:rPr>
          <w:rFonts w:ascii="Arial" w:hAnsi="Arial" w:cs="Arial"/>
          <w:b/>
        </w:rPr>
        <w:t xml:space="preserve">No </w:t>
      </w:r>
      <w:r w:rsidR="00C26A69">
        <w:rPr>
          <w:rFonts w:ascii="Arial" w:hAnsi="Arial" w:cs="Arial"/>
          <w:b/>
        </w:rPr>
        <w:t xml:space="preserve">item </w:t>
      </w:r>
      <w:r w:rsidR="006213BC" w:rsidRPr="006213BC">
        <w:rPr>
          <w:rFonts w:ascii="Arial" w:hAnsi="Arial" w:cs="Arial"/>
          <w:b/>
          <w:lang w:val="pt-PT"/>
        </w:rPr>
        <w:t>13.5.3</w:t>
      </w:r>
      <w:r w:rsidR="006213BC">
        <w:rPr>
          <w:rFonts w:ascii="Arial" w:hAnsi="Arial" w:cs="Arial"/>
          <w:b/>
          <w:lang w:val="pt-PT"/>
        </w:rPr>
        <w:t xml:space="preserve"> e seus subitens, passam a vigorar a seguinte redação</w:t>
      </w:r>
      <w:r w:rsidRPr="00552CF4">
        <w:rPr>
          <w:rFonts w:ascii="Arial" w:hAnsi="Arial" w:cs="Arial"/>
          <w:b/>
          <w:szCs w:val="24"/>
        </w:rPr>
        <w:t>:</w:t>
      </w:r>
      <w:r w:rsidRPr="00552CF4">
        <w:rPr>
          <w:rFonts w:ascii="Arial" w:eastAsia="Times New Roman" w:hAnsi="Arial" w:cs="Arial"/>
          <w:color w:val="000000"/>
          <w:szCs w:val="24"/>
        </w:rPr>
        <w:t xml:space="preserve"> </w:t>
      </w:r>
    </w:p>
    <w:p w:rsidR="006213BC" w:rsidRPr="006213BC" w:rsidRDefault="006213BC" w:rsidP="006213BC">
      <w:pPr>
        <w:pStyle w:val="PargrafodaLista"/>
        <w:ind w:left="360"/>
        <w:jc w:val="both"/>
        <w:rPr>
          <w:rFonts w:ascii="Arial" w:hAnsi="Arial" w:cs="Arial"/>
          <w:szCs w:val="24"/>
        </w:rPr>
      </w:pPr>
      <w:r w:rsidRPr="006213BC">
        <w:rPr>
          <w:rFonts w:ascii="Arial" w:hAnsi="Arial" w:cs="Arial"/>
          <w:szCs w:val="24"/>
        </w:rPr>
        <w:t>13.5.3 - Qualificação Técnica:</w:t>
      </w:r>
    </w:p>
    <w:p w:rsidR="006213BC" w:rsidRPr="006213BC" w:rsidRDefault="006213BC" w:rsidP="006213BC">
      <w:pPr>
        <w:pStyle w:val="PargrafodaLista"/>
        <w:ind w:left="360"/>
        <w:jc w:val="both"/>
        <w:rPr>
          <w:rFonts w:ascii="Arial" w:hAnsi="Arial" w:cs="Arial"/>
          <w:szCs w:val="24"/>
        </w:rPr>
      </w:pPr>
      <w:r w:rsidRPr="006213BC">
        <w:rPr>
          <w:rFonts w:ascii="Arial" w:hAnsi="Arial" w:cs="Arial"/>
          <w:szCs w:val="24"/>
        </w:rPr>
        <w:t xml:space="preserve">13.5.3.1 – Para fins de comprovação de qualificação técnica, </w:t>
      </w:r>
      <w:proofErr w:type="gramStart"/>
      <w:r w:rsidRPr="006213BC">
        <w:rPr>
          <w:rFonts w:ascii="Arial" w:hAnsi="Arial" w:cs="Arial"/>
          <w:szCs w:val="24"/>
        </w:rPr>
        <w:t>deverá(</w:t>
      </w:r>
      <w:proofErr w:type="spellStart"/>
      <w:proofErr w:type="gramEnd"/>
      <w:r w:rsidRPr="006213BC">
        <w:rPr>
          <w:rFonts w:ascii="Arial" w:hAnsi="Arial" w:cs="Arial"/>
          <w:szCs w:val="24"/>
        </w:rPr>
        <w:t>ão</w:t>
      </w:r>
      <w:proofErr w:type="spellEnd"/>
      <w:r w:rsidRPr="006213BC">
        <w:rPr>
          <w:rFonts w:ascii="Arial" w:hAnsi="Arial" w:cs="Arial"/>
          <w:szCs w:val="24"/>
        </w:rPr>
        <w:t>) ser apresentado(s)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o(s)seguinte(s) documento(s):</w:t>
      </w:r>
    </w:p>
    <w:p w:rsidR="006213BC" w:rsidRPr="006213BC" w:rsidRDefault="006213BC" w:rsidP="006213BC">
      <w:pPr>
        <w:pStyle w:val="PargrafodaLista"/>
        <w:ind w:left="360"/>
        <w:jc w:val="both"/>
        <w:rPr>
          <w:rFonts w:ascii="Arial" w:hAnsi="Arial" w:cs="Arial"/>
          <w:szCs w:val="24"/>
        </w:rPr>
      </w:pPr>
      <w:r w:rsidRPr="006213BC">
        <w:rPr>
          <w:rFonts w:ascii="Arial" w:hAnsi="Arial" w:cs="Arial"/>
          <w:szCs w:val="24"/>
        </w:rPr>
        <w:t>a) CERTIDÃO de registro ou inscrição na entidade profissional competente (CREA) no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ramo de Engenharia Mecânica e Elétrica, conforme exigido pela Resolução n°</w:t>
      </w:r>
      <w:r w:rsidR="00251BDA"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068/2019, pela Lei nº 13.589/18, Lei nº 13.639/18 e demais normas técnicas aplicáveis.</w:t>
      </w:r>
    </w:p>
    <w:p w:rsidR="006213BC" w:rsidRPr="006213BC" w:rsidRDefault="006213BC" w:rsidP="006213BC">
      <w:pPr>
        <w:pStyle w:val="PargrafodaLista"/>
        <w:ind w:left="360"/>
        <w:jc w:val="both"/>
        <w:rPr>
          <w:rFonts w:ascii="Arial" w:hAnsi="Arial" w:cs="Arial"/>
          <w:szCs w:val="24"/>
        </w:rPr>
      </w:pPr>
      <w:r w:rsidRPr="006213BC">
        <w:rPr>
          <w:rFonts w:ascii="Arial" w:hAnsi="Arial" w:cs="Arial"/>
          <w:szCs w:val="24"/>
        </w:rPr>
        <w:t xml:space="preserve">b) </w:t>
      </w:r>
      <w:proofErr w:type="gramStart"/>
      <w:r w:rsidRPr="006213BC">
        <w:rPr>
          <w:rFonts w:ascii="Arial" w:hAnsi="Arial" w:cs="Arial"/>
          <w:szCs w:val="24"/>
        </w:rPr>
        <w:t>ATESTADO(</w:t>
      </w:r>
      <w:proofErr w:type="gramEnd"/>
      <w:r w:rsidRPr="006213BC">
        <w:rPr>
          <w:rFonts w:ascii="Arial" w:hAnsi="Arial" w:cs="Arial"/>
          <w:szCs w:val="24"/>
        </w:rPr>
        <w:t>S) DE CAPACIDADE TÉCNICO-OPERACIONAL: Comprovação de</w:t>
      </w:r>
      <w:r w:rsidR="00251BDA"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aptidão da licitante para desempenho de atividade pertinente e compatível em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características, quantidades e prazos com o objeto da presente licitação, feita por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meio de atestados de capacidade técnico-operacional, em nome da licitante,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fornecidos por pessoa(s) jurídica(s) de direito público ou privado, para as quais a</w:t>
      </w:r>
      <w:r w:rsidR="00251BDA"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licitante já houver prestado o serviço.</w:t>
      </w:r>
    </w:p>
    <w:p w:rsidR="006213BC" w:rsidRPr="006213BC" w:rsidRDefault="006213BC" w:rsidP="006213BC">
      <w:pPr>
        <w:pStyle w:val="PargrafodaLista"/>
        <w:ind w:left="360"/>
        <w:jc w:val="both"/>
        <w:rPr>
          <w:rFonts w:ascii="Arial" w:hAnsi="Arial" w:cs="Arial"/>
          <w:szCs w:val="24"/>
        </w:rPr>
      </w:pPr>
      <w:r w:rsidRPr="006213BC">
        <w:rPr>
          <w:rFonts w:ascii="Arial" w:hAnsi="Arial" w:cs="Arial"/>
          <w:szCs w:val="24"/>
        </w:rPr>
        <w:t>c) A capacidade técnico-operacional da empresa será avaliada, igualmente, a partir da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análise da existência de sanções administrativas eventualmente aplicadas por órgãos do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Município de Niterói em razão de prestação inadequada do serviço, nos últimos 12 meses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anteriores à licitação.</w:t>
      </w:r>
    </w:p>
    <w:p w:rsidR="006213BC" w:rsidRPr="006213BC" w:rsidRDefault="006213BC" w:rsidP="006213BC">
      <w:pPr>
        <w:pStyle w:val="PargrafodaLista"/>
        <w:ind w:left="360"/>
        <w:jc w:val="both"/>
        <w:rPr>
          <w:rFonts w:ascii="Arial" w:hAnsi="Arial" w:cs="Arial"/>
          <w:szCs w:val="24"/>
        </w:rPr>
      </w:pPr>
      <w:r w:rsidRPr="006213BC">
        <w:rPr>
          <w:rFonts w:ascii="Arial" w:hAnsi="Arial" w:cs="Arial"/>
          <w:szCs w:val="24"/>
        </w:rPr>
        <w:t>d) Possuir Certidão emitida pelo INEA-RJ compatível com o objeto da licitação;</w:t>
      </w:r>
    </w:p>
    <w:p w:rsidR="006213BC" w:rsidRPr="006213BC" w:rsidRDefault="006213BC" w:rsidP="006213BC">
      <w:pPr>
        <w:pStyle w:val="PargrafodaLista"/>
        <w:ind w:left="360"/>
        <w:jc w:val="both"/>
        <w:rPr>
          <w:rFonts w:ascii="Arial" w:hAnsi="Arial" w:cs="Arial"/>
          <w:szCs w:val="24"/>
        </w:rPr>
      </w:pPr>
      <w:r w:rsidRPr="006213BC">
        <w:rPr>
          <w:rFonts w:ascii="Arial" w:hAnsi="Arial" w:cs="Arial"/>
          <w:szCs w:val="24"/>
        </w:rPr>
        <w:t>e) Possuir no seu quadro técnico permanente, em virtude de relação empregatícia,</w:t>
      </w:r>
      <w:r w:rsidR="00251BDA"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vínculo societário ou contrato de prestação de serviço, na data da licitação,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profissional de nível superior detentor de certidão ou atestado, fornecido por pessoa</w:t>
      </w:r>
      <w:r w:rsidR="00251BDA"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jurídica de direito público ou privado, acompanhado de Certidão de Acervo Técnico</w:t>
      </w:r>
    </w:p>
    <w:p w:rsidR="006213BC" w:rsidRPr="006213BC" w:rsidRDefault="006213BC" w:rsidP="006213BC">
      <w:pPr>
        <w:pStyle w:val="PargrafodaLista"/>
        <w:ind w:left="360"/>
        <w:jc w:val="both"/>
        <w:rPr>
          <w:rFonts w:ascii="Arial" w:hAnsi="Arial" w:cs="Arial"/>
          <w:szCs w:val="24"/>
        </w:rPr>
      </w:pPr>
      <w:r w:rsidRPr="006213BC">
        <w:rPr>
          <w:rFonts w:ascii="Arial" w:hAnsi="Arial" w:cs="Arial"/>
          <w:szCs w:val="24"/>
        </w:rPr>
        <w:t xml:space="preserve">- CAT expedida pelo CREA ou </w:t>
      </w:r>
      <w:proofErr w:type="gramStart"/>
      <w:r w:rsidRPr="006213BC">
        <w:rPr>
          <w:rFonts w:ascii="Arial" w:hAnsi="Arial" w:cs="Arial"/>
          <w:szCs w:val="24"/>
        </w:rPr>
        <w:t>CAU(</w:t>
      </w:r>
      <w:proofErr w:type="gramEnd"/>
      <w:r w:rsidRPr="006213BC">
        <w:rPr>
          <w:rFonts w:ascii="Arial" w:hAnsi="Arial" w:cs="Arial"/>
          <w:szCs w:val="24"/>
        </w:rPr>
        <w:t>Arquitetos), comprovando ter sido responsável</w:t>
      </w:r>
      <w:r w:rsidR="00251BDA"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técnico por atividade pertinente e compatível em características com o objeto desta</w:t>
      </w:r>
      <w:r w:rsidR="00251BDA"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licitação, limitada às parcelas de maior relevância técnica, entre as quais destacam-se:</w:t>
      </w:r>
    </w:p>
    <w:p w:rsidR="006213BC" w:rsidRPr="006213BC" w:rsidRDefault="006213BC" w:rsidP="006213BC">
      <w:pPr>
        <w:pStyle w:val="PargrafodaLista"/>
        <w:ind w:left="360"/>
        <w:jc w:val="both"/>
        <w:rPr>
          <w:rFonts w:ascii="Arial" w:hAnsi="Arial" w:cs="Arial"/>
          <w:szCs w:val="24"/>
        </w:rPr>
      </w:pPr>
      <w:r w:rsidRPr="006213BC">
        <w:rPr>
          <w:rFonts w:ascii="Arial" w:hAnsi="Arial" w:cs="Arial"/>
          <w:szCs w:val="24"/>
        </w:rPr>
        <w:t>SERVICO DE MANUTENCAO PREVENTIVA E/OU CORRETIVA DE APARELHOS DE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AR CONDICIONADO TIPO SPLIT, INCLUINDO A ELABORAÇÃO E MANTENIMENTO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DE PLANO DE MANUTENÇÃO, OPERAÇÃO E CONTROLE (PMOC) INCLUINDO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 xml:space="preserve">DESCARTE SUSTENTÁVEL DE PILHAS E BATERIAS; </w:t>
      </w:r>
      <w:proofErr w:type="spellStart"/>
      <w:r w:rsidRPr="006213BC">
        <w:rPr>
          <w:rFonts w:ascii="Arial" w:hAnsi="Arial" w:cs="Arial"/>
          <w:szCs w:val="24"/>
        </w:rPr>
        <w:t>Qtd</w:t>
      </w:r>
      <w:proofErr w:type="spellEnd"/>
      <w:r w:rsidRPr="006213BC">
        <w:rPr>
          <w:rFonts w:ascii="Arial" w:hAnsi="Arial" w:cs="Arial"/>
          <w:szCs w:val="24"/>
        </w:rPr>
        <w:t xml:space="preserve"> 45</w:t>
      </w:r>
    </w:p>
    <w:p w:rsidR="006213BC" w:rsidRPr="006213BC" w:rsidRDefault="006213BC" w:rsidP="006213BC">
      <w:pPr>
        <w:pStyle w:val="PargrafodaLista"/>
        <w:ind w:left="360"/>
        <w:jc w:val="both"/>
        <w:rPr>
          <w:rFonts w:ascii="Arial" w:hAnsi="Arial" w:cs="Arial"/>
          <w:szCs w:val="24"/>
        </w:rPr>
      </w:pPr>
      <w:r w:rsidRPr="006213BC">
        <w:rPr>
          <w:rFonts w:ascii="Arial" w:hAnsi="Arial" w:cs="Arial"/>
          <w:szCs w:val="24"/>
        </w:rPr>
        <w:t>. A Lei nº 13.589, de 4 de janeiro de 2018, que “Dispõe sobre a manutenção de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instalações e equipamentos de sistemas de climatização de ambientes”;</w:t>
      </w:r>
    </w:p>
    <w:p w:rsidR="006213BC" w:rsidRPr="006213BC" w:rsidRDefault="006213BC" w:rsidP="006213BC">
      <w:pPr>
        <w:pStyle w:val="PargrafodaLista"/>
        <w:ind w:left="360"/>
        <w:jc w:val="both"/>
        <w:rPr>
          <w:rFonts w:ascii="Arial" w:hAnsi="Arial" w:cs="Arial"/>
          <w:szCs w:val="24"/>
        </w:rPr>
      </w:pPr>
      <w:r w:rsidRPr="006213BC">
        <w:rPr>
          <w:rFonts w:ascii="Arial" w:hAnsi="Arial" w:cs="Arial"/>
          <w:szCs w:val="24"/>
        </w:rPr>
        <w:t>. Lei nº 13.639, de 26 de março de 2018, que “Cria o Conselho Federal dos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Técnicos Industriais, o Conselho Federal dos Técnicos Agrícolas, os Conselhos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Regionais dos Técnicos Industriais e os Conselhos Regionais dos Técnicos Agrícolas”;</w:t>
      </w:r>
    </w:p>
    <w:p w:rsidR="006213BC" w:rsidRPr="006213BC" w:rsidRDefault="006213BC" w:rsidP="006213BC">
      <w:pPr>
        <w:pStyle w:val="PargrafodaLista"/>
        <w:ind w:left="360"/>
        <w:jc w:val="both"/>
        <w:rPr>
          <w:rFonts w:ascii="Arial" w:hAnsi="Arial" w:cs="Arial"/>
          <w:szCs w:val="24"/>
        </w:rPr>
      </w:pPr>
      <w:r w:rsidRPr="006213BC">
        <w:rPr>
          <w:rFonts w:ascii="Arial" w:hAnsi="Arial" w:cs="Arial"/>
          <w:szCs w:val="24"/>
        </w:rPr>
        <w:t>. Resolução n° 068 de 24 de maio de 2019, que define os profissionais técnicos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habilitados para elaboração e execução do PMOC - Plano de Manutenção, Operação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e Controle de sistemas de climatização de ambiente.</w:t>
      </w:r>
    </w:p>
    <w:p w:rsidR="006213BC" w:rsidRPr="006213BC" w:rsidRDefault="006213BC" w:rsidP="006213BC">
      <w:pPr>
        <w:pStyle w:val="PargrafodaLista"/>
        <w:ind w:left="360"/>
        <w:jc w:val="both"/>
        <w:rPr>
          <w:rFonts w:ascii="Arial" w:hAnsi="Arial" w:cs="Arial"/>
          <w:szCs w:val="24"/>
        </w:rPr>
      </w:pPr>
      <w:r w:rsidRPr="006213BC">
        <w:rPr>
          <w:rFonts w:ascii="Arial" w:hAnsi="Arial" w:cs="Arial"/>
          <w:szCs w:val="24"/>
        </w:rPr>
        <w:t>. Resolução ANVISA - RE n º 176, de 24 de outubro de 2000, que determina a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“Orientação Técnica elaborada por Grupo Técnico Assessor, sobre Padrões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Referenciais de Qualidade do Ar Interior, em ambientes climatizados artificialmente de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uso público e coletivo”;</w:t>
      </w:r>
    </w:p>
    <w:p w:rsidR="006213BC" w:rsidRPr="006213BC" w:rsidRDefault="006213BC" w:rsidP="006213BC">
      <w:pPr>
        <w:pStyle w:val="PargrafodaLista"/>
        <w:ind w:left="360"/>
        <w:jc w:val="both"/>
        <w:rPr>
          <w:rFonts w:ascii="Arial" w:hAnsi="Arial" w:cs="Arial"/>
          <w:szCs w:val="24"/>
        </w:rPr>
      </w:pPr>
      <w:r w:rsidRPr="006213BC">
        <w:rPr>
          <w:rFonts w:ascii="Arial" w:hAnsi="Arial" w:cs="Arial"/>
          <w:szCs w:val="24"/>
        </w:rPr>
        <w:t>. Portaria nº 3.523 do Ministério da Saúde, de 28 de agosto de 1998, que aprova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o “Regulamento Técnico contendo medidas básicas referentes aos procedimentos de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 xml:space="preserve">verificação visual do </w:t>
      </w:r>
      <w:r w:rsidRPr="006213BC">
        <w:rPr>
          <w:rFonts w:ascii="Arial" w:hAnsi="Arial" w:cs="Arial"/>
          <w:szCs w:val="24"/>
        </w:rPr>
        <w:lastRenderedPageBreak/>
        <w:t>estado de limpeza, remoção de sujidades por métodos físicos e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manutenção do estado de integridade e eficiência de todos os componentes dos sistemas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de climatização, para garantir a Qualidade do Ar de Interiores e prevenção de riscos à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saúde dos ocupantes de ambientes climatizados”;</w:t>
      </w:r>
    </w:p>
    <w:p w:rsidR="006213BC" w:rsidRPr="006213BC" w:rsidRDefault="006213BC" w:rsidP="006213BC">
      <w:pPr>
        <w:pStyle w:val="PargrafodaLista"/>
        <w:ind w:left="360"/>
        <w:jc w:val="both"/>
        <w:rPr>
          <w:rFonts w:ascii="Arial" w:hAnsi="Arial" w:cs="Arial"/>
          <w:szCs w:val="24"/>
        </w:rPr>
      </w:pPr>
      <w:r w:rsidRPr="006213BC">
        <w:rPr>
          <w:rFonts w:ascii="Arial" w:hAnsi="Arial" w:cs="Arial"/>
          <w:szCs w:val="24"/>
        </w:rPr>
        <w:t>. NBR 14679 – “Sistemas de condicionamento de ar e ventilação - Execução de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serviços de higienização”.</w:t>
      </w:r>
    </w:p>
    <w:p w:rsidR="006213BC" w:rsidRPr="006213BC" w:rsidRDefault="006213BC" w:rsidP="006213BC">
      <w:pPr>
        <w:pStyle w:val="PargrafodaLista"/>
        <w:ind w:left="360"/>
        <w:jc w:val="both"/>
        <w:rPr>
          <w:rFonts w:ascii="Arial" w:hAnsi="Arial" w:cs="Arial"/>
          <w:szCs w:val="24"/>
        </w:rPr>
      </w:pPr>
      <w:r w:rsidRPr="006213BC">
        <w:rPr>
          <w:rFonts w:ascii="Arial" w:hAnsi="Arial" w:cs="Arial"/>
          <w:szCs w:val="24"/>
        </w:rPr>
        <w:t>f) Certificado de Registro e Quitação do licitante e de seus responsáveis técnicos no CREA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da região a que estiver vinculado o licitante, dentro do prazo de validade, que comprove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atividade relacionada com o objeto da presente licitação, conforme a Resolução n°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 xml:space="preserve">218/1973 do CONFEA, ou </w:t>
      </w:r>
      <w:proofErr w:type="gramStart"/>
      <w:r w:rsidRPr="006213BC">
        <w:rPr>
          <w:rFonts w:ascii="Arial" w:hAnsi="Arial" w:cs="Arial"/>
          <w:szCs w:val="24"/>
        </w:rPr>
        <w:t>outra(</w:t>
      </w:r>
      <w:proofErr w:type="gramEnd"/>
      <w:r w:rsidRPr="006213BC">
        <w:rPr>
          <w:rFonts w:ascii="Arial" w:hAnsi="Arial" w:cs="Arial"/>
          <w:szCs w:val="24"/>
        </w:rPr>
        <w:t>s) que vier(em) a substituí-la ou alterá-la;</w:t>
      </w:r>
    </w:p>
    <w:p w:rsidR="006213BC" w:rsidRPr="006213BC" w:rsidRDefault="006213BC" w:rsidP="006213BC">
      <w:pPr>
        <w:pStyle w:val="PargrafodaLista"/>
        <w:ind w:left="360"/>
        <w:jc w:val="both"/>
        <w:rPr>
          <w:rFonts w:ascii="Arial" w:hAnsi="Arial" w:cs="Arial"/>
          <w:szCs w:val="24"/>
        </w:rPr>
      </w:pPr>
      <w:r w:rsidRPr="006213BC">
        <w:rPr>
          <w:rFonts w:ascii="Arial" w:hAnsi="Arial" w:cs="Arial"/>
          <w:szCs w:val="24"/>
        </w:rPr>
        <w:t>g) Comprovação de que possui no quadro profissionais detentores das seguintes</w:t>
      </w:r>
      <w:r w:rsidR="00251BDA"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qualificações:</w:t>
      </w:r>
    </w:p>
    <w:p w:rsidR="006213BC" w:rsidRPr="006213BC" w:rsidRDefault="006213BC" w:rsidP="006213BC">
      <w:pPr>
        <w:pStyle w:val="PargrafodaLista"/>
        <w:ind w:left="360"/>
        <w:jc w:val="both"/>
        <w:rPr>
          <w:rFonts w:ascii="Arial" w:hAnsi="Arial" w:cs="Arial"/>
          <w:szCs w:val="24"/>
        </w:rPr>
      </w:pPr>
      <w:r w:rsidRPr="006213BC">
        <w:rPr>
          <w:rFonts w:ascii="Arial" w:hAnsi="Arial" w:cs="Arial"/>
          <w:szCs w:val="24"/>
        </w:rPr>
        <w:t>I) NR 10 - Segurança em instalações e serviços em eletricidade;</w:t>
      </w:r>
    </w:p>
    <w:p w:rsidR="006213BC" w:rsidRPr="006213BC" w:rsidRDefault="006213BC" w:rsidP="006213BC">
      <w:pPr>
        <w:pStyle w:val="PargrafodaLista"/>
        <w:ind w:left="360"/>
        <w:jc w:val="both"/>
        <w:rPr>
          <w:rFonts w:ascii="Arial" w:hAnsi="Arial" w:cs="Arial"/>
          <w:szCs w:val="24"/>
        </w:rPr>
      </w:pPr>
      <w:r w:rsidRPr="006213BC">
        <w:rPr>
          <w:rFonts w:ascii="Arial" w:hAnsi="Arial" w:cs="Arial"/>
          <w:szCs w:val="24"/>
        </w:rPr>
        <w:t>II) NR 35 - Medidas de proteção para trabalhos feitos acima de 2 metros de altura com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risco de queda.</w:t>
      </w:r>
    </w:p>
    <w:p w:rsidR="006213BC" w:rsidRPr="006213BC" w:rsidRDefault="006213BC" w:rsidP="006213BC">
      <w:pPr>
        <w:pStyle w:val="PargrafodaLista"/>
        <w:ind w:left="360"/>
        <w:jc w:val="both"/>
        <w:rPr>
          <w:rFonts w:ascii="Arial" w:hAnsi="Arial" w:cs="Arial"/>
          <w:szCs w:val="24"/>
        </w:rPr>
      </w:pPr>
      <w:r w:rsidRPr="006213BC">
        <w:rPr>
          <w:rFonts w:ascii="Arial" w:hAnsi="Arial" w:cs="Arial"/>
          <w:szCs w:val="24"/>
        </w:rPr>
        <w:t>h) O profissional indicado pela licitante para comprovação da capacitação técnico-</w:t>
      </w:r>
      <w:r w:rsidR="00251BDA"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profissional deverá ser efetivamente o responsável pela execução, durante o contrato, dos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serviços objeto desta licitação.</w:t>
      </w:r>
    </w:p>
    <w:p w:rsidR="006213BC" w:rsidRPr="006213BC" w:rsidRDefault="006213BC" w:rsidP="006213BC">
      <w:pPr>
        <w:pStyle w:val="PargrafodaLista"/>
        <w:ind w:left="360"/>
        <w:jc w:val="both"/>
        <w:rPr>
          <w:rFonts w:ascii="Arial" w:hAnsi="Arial" w:cs="Arial"/>
          <w:szCs w:val="24"/>
        </w:rPr>
      </w:pPr>
      <w:r w:rsidRPr="006213BC">
        <w:rPr>
          <w:rFonts w:ascii="Arial" w:hAnsi="Arial" w:cs="Arial"/>
          <w:szCs w:val="24"/>
        </w:rPr>
        <w:t>i) A substituição dos responsáveis técnicos durante o contrato será admitida, desde que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se indique para substitui-los profissionais que apresentem qualificações equivalentes ou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superiores à mínima exigida no edital de licitação, tendo seus nomes submetidos à prévia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aprovação pela CONTRATANTE.</w:t>
      </w:r>
    </w:p>
    <w:p w:rsidR="006213BC" w:rsidRPr="006213BC" w:rsidRDefault="006213BC" w:rsidP="006213BC">
      <w:pPr>
        <w:pStyle w:val="PargrafodaLista"/>
        <w:ind w:left="360"/>
        <w:jc w:val="both"/>
        <w:rPr>
          <w:rFonts w:ascii="Arial" w:hAnsi="Arial" w:cs="Arial"/>
          <w:szCs w:val="24"/>
        </w:rPr>
      </w:pPr>
      <w:r w:rsidRPr="006213BC">
        <w:rPr>
          <w:rFonts w:ascii="Arial" w:hAnsi="Arial" w:cs="Arial"/>
          <w:szCs w:val="24"/>
        </w:rPr>
        <w:t>j) Será considerada prejudicada a demonstração de qualificação técnica da empresa</w:t>
      </w:r>
      <w:r w:rsidR="00251BDA"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que já houver prestado serviço para o Município de Niterói e tenha sofrido sanções</w:t>
      </w:r>
      <w:r w:rsidR="00251BDA"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referentes à prestação do serviço, o que acarretará na inviabilidade de sua participação</w:t>
      </w:r>
      <w:r>
        <w:rPr>
          <w:rFonts w:ascii="Arial" w:hAnsi="Arial" w:cs="Arial"/>
          <w:szCs w:val="24"/>
        </w:rPr>
        <w:t xml:space="preserve"> </w:t>
      </w:r>
      <w:r w:rsidRPr="006213BC">
        <w:rPr>
          <w:rFonts w:ascii="Arial" w:hAnsi="Arial" w:cs="Arial"/>
          <w:szCs w:val="24"/>
        </w:rPr>
        <w:t>no procedimento licitatório.</w:t>
      </w:r>
    </w:p>
    <w:bookmarkEnd w:id="0"/>
    <w:p w:rsidR="00F371BE" w:rsidRDefault="0060588B" w:rsidP="00251BD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</w:rPr>
      </w:pPr>
      <w:r w:rsidRPr="00552CF4">
        <w:rPr>
          <w:rFonts w:ascii="Arial" w:hAnsi="Arial" w:cs="Arial"/>
        </w:rPr>
        <w:t xml:space="preserve">Niterói, </w:t>
      </w:r>
      <w:r w:rsidR="006213BC">
        <w:rPr>
          <w:rFonts w:ascii="Arial" w:hAnsi="Arial" w:cs="Arial"/>
        </w:rPr>
        <w:t>10</w:t>
      </w:r>
      <w:r w:rsidRPr="00552CF4">
        <w:rPr>
          <w:rFonts w:ascii="Arial" w:hAnsi="Arial" w:cs="Arial"/>
        </w:rPr>
        <w:t xml:space="preserve"> de </w:t>
      </w:r>
      <w:r w:rsidR="006213BC">
        <w:rPr>
          <w:rFonts w:ascii="Arial" w:hAnsi="Arial" w:cs="Arial"/>
        </w:rPr>
        <w:t>junho</w:t>
      </w:r>
      <w:r w:rsidRPr="00552CF4">
        <w:rPr>
          <w:rFonts w:ascii="Arial" w:hAnsi="Arial" w:cs="Arial"/>
        </w:rPr>
        <w:t xml:space="preserve"> de 20</w:t>
      </w:r>
      <w:r w:rsidR="0000380E" w:rsidRPr="00552CF4">
        <w:rPr>
          <w:rFonts w:ascii="Arial" w:hAnsi="Arial" w:cs="Arial"/>
        </w:rPr>
        <w:t>2</w:t>
      </w:r>
      <w:r w:rsidR="00FA36AD">
        <w:rPr>
          <w:rFonts w:ascii="Arial" w:hAnsi="Arial" w:cs="Arial"/>
        </w:rPr>
        <w:t>4</w:t>
      </w:r>
    </w:p>
    <w:p w:rsidR="00CA2FF9" w:rsidRDefault="00CA2FF9" w:rsidP="0060588B">
      <w:pPr>
        <w:tabs>
          <w:tab w:val="center" w:pos="-1701"/>
          <w:tab w:val="center" w:pos="-426"/>
          <w:tab w:val="right" w:pos="-142"/>
        </w:tabs>
        <w:spacing w:line="240" w:lineRule="auto"/>
        <w:ind w:left="-142" w:right="139"/>
        <w:jc w:val="right"/>
        <w:rPr>
          <w:rFonts w:ascii="Arial" w:hAnsi="Arial" w:cs="Arial"/>
        </w:rPr>
      </w:pPr>
    </w:p>
    <w:p w:rsidR="00251BDA" w:rsidRDefault="00251BDA" w:rsidP="0060588B">
      <w:pPr>
        <w:tabs>
          <w:tab w:val="center" w:pos="-1701"/>
          <w:tab w:val="center" w:pos="-426"/>
          <w:tab w:val="right" w:pos="-142"/>
        </w:tabs>
        <w:spacing w:line="240" w:lineRule="auto"/>
        <w:ind w:left="-142" w:right="139"/>
        <w:jc w:val="right"/>
        <w:rPr>
          <w:rFonts w:ascii="Arial" w:hAnsi="Arial" w:cs="Arial"/>
        </w:rPr>
      </w:pPr>
    </w:p>
    <w:p w:rsidR="00251BDA" w:rsidRDefault="00251BDA" w:rsidP="0060588B">
      <w:pPr>
        <w:tabs>
          <w:tab w:val="center" w:pos="-1701"/>
          <w:tab w:val="center" w:pos="-426"/>
          <w:tab w:val="right" w:pos="-142"/>
        </w:tabs>
        <w:spacing w:line="240" w:lineRule="auto"/>
        <w:ind w:left="-142" w:right="139"/>
        <w:jc w:val="right"/>
        <w:rPr>
          <w:rFonts w:ascii="Arial" w:hAnsi="Arial" w:cs="Arial"/>
        </w:rPr>
      </w:pPr>
    </w:p>
    <w:p w:rsidR="00251BDA" w:rsidRPr="00552CF4" w:rsidRDefault="00251BDA" w:rsidP="0060588B">
      <w:pPr>
        <w:tabs>
          <w:tab w:val="center" w:pos="-1701"/>
          <w:tab w:val="center" w:pos="-426"/>
          <w:tab w:val="right" w:pos="-142"/>
        </w:tabs>
        <w:spacing w:line="240" w:lineRule="auto"/>
        <w:ind w:left="-142" w:right="139"/>
        <w:jc w:val="right"/>
        <w:rPr>
          <w:rFonts w:ascii="Arial" w:hAnsi="Arial" w:cs="Arial"/>
        </w:rPr>
      </w:pPr>
    </w:p>
    <w:p w:rsidR="00D3262B" w:rsidRPr="00552CF4" w:rsidRDefault="00D3262B" w:rsidP="00B5532F">
      <w:pPr>
        <w:tabs>
          <w:tab w:val="center" w:pos="-1701"/>
          <w:tab w:val="center" w:pos="-426"/>
          <w:tab w:val="right" w:pos="-142"/>
        </w:tabs>
        <w:spacing w:after="0" w:line="240" w:lineRule="auto"/>
        <w:ind w:left="-142" w:right="139"/>
        <w:jc w:val="right"/>
        <w:rPr>
          <w:rFonts w:ascii="Arial" w:hAnsi="Arial" w:cs="Arial"/>
        </w:rPr>
      </w:pPr>
    </w:p>
    <w:p w:rsidR="00CA2FF9" w:rsidRPr="00552CF4" w:rsidRDefault="00251BDA" w:rsidP="00CA2FF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Fabio Nascimento</w:t>
      </w:r>
    </w:p>
    <w:p w:rsidR="00CA2FF9" w:rsidRPr="00F74938" w:rsidRDefault="00251BDA" w:rsidP="00CA2FF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Pregoeiro</w:t>
      </w:r>
    </w:p>
    <w:p w:rsidR="00C6046D" w:rsidRPr="00F74938" w:rsidRDefault="00C6046D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sectPr w:rsidR="00C6046D" w:rsidRPr="00F74938" w:rsidSect="006213BC">
      <w:headerReference w:type="default" r:id="rId7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C26" w:rsidRDefault="00473C26" w:rsidP="00473C26">
      <w:pPr>
        <w:spacing w:after="0" w:line="240" w:lineRule="auto"/>
      </w:pPr>
      <w:r>
        <w:separator/>
      </w:r>
    </w:p>
  </w:endnote>
  <w:endnote w:type="continuationSeparator" w:id="0">
    <w:p w:rsidR="00473C26" w:rsidRDefault="00473C26" w:rsidP="0047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Gothic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C26" w:rsidRDefault="00473C26" w:rsidP="00473C26">
      <w:pPr>
        <w:spacing w:after="0" w:line="240" w:lineRule="auto"/>
      </w:pPr>
      <w:r>
        <w:separator/>
      </w:r>
    </w:p>
  </w:footnote>
  <w:footnote w:type="continuationSeparator" w:id="0">
    <w:p w:rsidR="00473C26" w:rsidRDefault="00473C26" w:rsidP="0047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C26" w:rsidRDefault="00C26A69" w:rsidP="00473C26">
    <w:pPr>
      <w:jc w:val="center"/>
    </w:pPr>
    <w:r w:rsidRPr="00DF6F8C">
      <w:rPr>
        <w:noProof/>
        <w:lang w:eastAsia="pt-BR"/>
      </w:rPr>
      <w:drawing>
        <wp:inline distT="0" distB="0" distL="0" distR="0">
          <wp:extent cx="4198620" cy="591598"/>
          <wp:effectExtent l="0" t="0" r="0" b="0"/>
          <wp:docPr id="10" name="Imagem 10" descr="O FUTURO É A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 FUTURO É A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9114" cy="604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751E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24D4EF8"/>
    <w:multiLevelType w:val="hybridMultilevel"/>
    <w:tmpl w:val="67689390"/>
    <w:lvl w:ilvl="0" w:tplc="CA66275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1656F0"/>
    <w:multiLevelType w:val="hybridMultilevel"/>
    <w:tmpl w:val="EDD833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73B72"/>
    <w:multiLevelType w:val="multilevel"/>
    <w:tmpl w:val="040697E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26"/>
    <w:rsid w:val="0000380E"/>
    <w:rsid w:val="00015FD5"/>
    <w:rsid w:val="00115DF8"/>
    <w:rsid w:val="00126BA9"/>
    <w:rsid w:val="00136C81"/>
    <w:rsid w:val="001B0B6D"/>
    <w:rsid w:val="001D3659"/>
    <w:rsid w:val="001F5C28"/>
    <w:rsid w:val="0020098B"/>
    <w:rsid w:val="002048C6"/>
    <w:rsid w:val="002229BE"/>
    <w:rsid w:val="00240696"/>
    <w:rsid w:val="00251BDA"/>
    <w:rsid w:val="00265297"/>
    <w:rsid w:val="00291BED"/>
    <w:rsid w:val="00295875"/>
    <w:rsid w:val="002B5D87"/>
    <w:rsid w:val="00352B8F"/>
    <w:rsid w:val="00367E3C"/>
    <w:rsid w:val="003B2F6A"/>
    <w:rsid w:val="003D25C3"/>
    <w:rsid w:val="003E32EC"/>
    <w:rsid w:val="003E7CCA"/>
    <w:rsid w:val="003F637D"/>
    <w:rsid w:val="00442BB2"/>
    <w:rsid w:val="00462718"/>
    <w:rsid w:val="00471EF2"/>
    <w:rsid w:val="00473C26"/>
    <w:rsid w:val="004B00D4"/>
    <w:rsid w:val="004D5D53"/>
    <w:rsid w:val="004E4EFF"/>
    <w:rsid w:val="00540FB9"/>
    <w:rsid w:val="00552CF4"/>
    <w:rsid w:val="005E168B"/>
    <w:rsid w:val="005F0708"/>
    <w:rsid w:val="0060588B"/>
    <w:rsid w:val="00605B02"/>
    <w:rsid w:val="006213BC"/>
    <w:rsid w:val="00662C3F"/>
    <w:rsid w:val="00670383"/>
    <w:rsid w:val="006A3E6D"/>
    <w:rsid w:val="006B7114"/>
    <w:rsid w:val="006E30F0"/>
    <w:rsid w:val="00705069"/>
    <w:rsid w:val="00716BFF"/>
    <w:rsid w:val="00724E8B"/>
    <w:rsid w:val="0075062F"/>
    <w:rsid w:val="00752686"/>
    <w:rsid w:val="007E2969"/>
    <w:rsid w:val="00804C7C"/>
    <w:rsid w:val="00895F27"/>
    <w:rsid w:val="008A6F80"/>
    <w:rsid w:val="008B1729"/>
    <w:rsid w:val="008C276D"/>
    <w:rsid w:val="008C7DE5"/>
    <w:rsid w:val="008E28ED"/>
    <w:rsid w:val="008F0587"/>
    <w:rsid w:val="009A5EC7"/>
    <w:rsid w:val="009A795C"/>
    <w:rsid w:val="00A06A82"/>
    <w:rsid w:val="00A44B5F"/>
    <w:rsid w:val="00A46A67"/>
    <w:rsid w:val="00AD7CA5"/>
    <w:rsid w:val="00AE2854"/>
    <w:rsid w:val="00B049AF"/>
    <w:rsid w:val="00B1341C"/>
    <w:rsid w:val="00B15986"/>
    <w:rsid w:val="00B17423"/>
    <w:rsid w:val="00B252E0"/>
    <w:rsid w:val="00B5532F"/>
    <w:rsid w:val="00B649F1"/>
    <w:rsid w:val="00BC6C57"/>
    <w:rsid w:val="00C008C2"/>
    <w:rsid w:val="00C266FF"/>
    <w:rsid w:val="00C26A69"/>
    <w:rsid w:val="00C52AAD"/>
    <w:rsid w:val="00C57699"/>
    <w:rsid w:val="00C6046D"/>
    <w:rsid w:val="00C65273"/>
    <w:rsid w:val="00CA2FF9"/>
    <w:rsid w:val="00CB6FA9"/>
    <w:rsid w:val="00D045C3"/>
    <w:rsid w:val="00D3262B"/>
    <w:rsid w:val="00D914A9"/>
    <w:rsid w:val="00DA75D2"/>
    <w:rsid w:val="00DB4FAE"/>
    <w:rsid w:val="00DE6A0F"/>
    <w:rsid w:val="00E01738"/>
    <w:rsid w:val="00E04306"/>
    <w:rsid w:val="00E30FDC"/>
    <w:rsid w:val="00E815F4"/>
    <w:rsid w:val="00ED1FDE"/>
    <w:rsid w:val="00F15F4A"/>
    <w:rsid w:val="00F32486"/>
    <w:rsid w:val="00F371BE"/>
    <w:rsid w:val="00F41A8B"/>
    <w:rsid w:val="00F6390E"/>
    <w:rsid w:val="00F74938"/>
    <w:rsid w:val="00F94A32"/>
    <w:rsid w:val="00FA36AD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C61A524-E8F5-47B9-B357-2F8A9B1D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nhideWhenUsed/>
    <w:qFormat/>
    <w:rsid w:val="00605B0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3C26"/>
  </w:style>
  <w:style w:type="paragraph" w:styleId="Rodap">
    <w:name w:val="footer"/>
    <w:basedOn w:val="Normal"/>
    <w:link w:val="Rodap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3C26"/>
  </w:style>
  <w:style w:type="paragraph" w:styleId="Textodebalo">
    <w:name w:val="Balloon Text"/>
    <w:basedOn w:val="Normal"/>
    <w:link w:val="TextodebaloChar"/>
    <w:uiPriority w:val="99"/>
    <w:semiHidden/>
    <w:unhideWhenUsed/>
    <w:rsid w:val="0047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C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3C26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605B0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har"/>
    <w:uiPriority w:val="99"/>
    <w:rsid w:val="00DB4FAE"/>
    <w:pPr>
      <w:spacing w:after="0" w:line="240" w:lineRule="auto"/>
      <w:jc w:val="both"/>
    </w:pPr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B4FAE"/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526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52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heloisa</dc:creator>
  <cp:lastModifiedBy>Conta da Microsoft</cp:lastModifiedBy>
  <cp:revision>2</cp:revision>
  <cp:lastPrinted>2024-06-10T16:47:00Z</cp:lastPrinted>
  <dcterms:created xsi:type="dcterms:W3CDTF">2024-06-13T16:47:00Z</dcterms:created>
  <dcterms:modified xsi:type="dcterms:W3CDTF">2024-06-13T16:47:00Z</dcterms:modified>
</cp:coreProperties>
</file>